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D7" w:rsidRPr="00F423AE" w:rsidRDefault="00714DDF" w:rsidP="00D508D7">
      <w:p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У 201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6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– 201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7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навчальному році (вересень 201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6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р. – серпень 201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7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р.) ми працюємо над І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І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етапом  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шкільного науково-методичного проекту </w:t>
      </w:r>
      <w:r w:rsidR="00D508D7" w:rsidRPr="00F423AE">
        <w:rPr>
          <w:lang w:val="uk-UA"/>
        </w:rPr>
        <w:t>«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Створення здоров’язберігаючого культурно-освітнього простору як фактор успішної соціалізації особистості»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– </w:t>
      </w:r>
      <w:r w:rsidR="00D508D7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організаційно-моделюючим. </w:t>
      </w:r>
    </w:p>
    <w:p w:rsidR="00D508D7" w:rsidRPr="00F423AE" w:rsidRDefault="00D508D7" w:rsidP="00D508D7">
      <w:pPr>
        <w:spacing w:line="235" w:lineRule="auto"/>
        <w:ind w:left="1276" w:firstLine="708"/>
        <w:jc w:val="center"/>
        <w:rPr>
          <w:b/>
          <w:i/>
          <w:color w:val="FF0000"/>
          <w:sz w:val="36"/>
          <w:szCs w:val="36"/>
          <w:lang w:val="uk-UA"/>
        </w:rPr>
      </w:pPr>
      <w:r w:rsidRPr="00F423AE">
        <w:rPr>
          <w:rFonts w:ascii="Monotype Corsiva" w:hAnsi="Monotype Corsiva"/>
          <w:b/>
          <w:i/>
          <w:color w:val="FF0000"/>
          <w:sz w:val="56"/>
          <w:szCs w:val="36"/>
          <w:lang w:val="uk-UA"/>
        </w:rPr>
        <w:t>З</w:t>
      </w:r>
      <w:r w:rsidRPr="00F423AE">
        <w:rPr>
          <w:b/>
          <w:i/>
          <w:color w:val="FF0000"/>
          <w:sz w:val="36"/>
          <w:szCs w:val="36"/>
          <w:lang w:val="uk-UA"/>
        </w:rPr>
        <w:t>авдання, що стоять перед педагогічним колективом:</w:t>
      </w:r>
    </w:p>
    <w:p w:rsidR="00D508D7" w:rsidRPr="00F423AE" w:rsidRDefault="00D508D7" w:rsidP="00D508D7">
      <w:pPr>
        <w:rPr>
          <w:rFonts w:eastAsia="Times New Roman"/>
          <w:b/>
          <w:bCs/>
          <w:iCs/>
          <w:sz w:val="24"/>
          <w:szCs w:val="24"/>
          <w:lang w:val="uk-UA" w:eastAsia="ru-RU"/>
        </w:rPr>
      </w:pPr>
    </w:p>
    <w:p w:rsidR="00D508D7" w:rsidRPr="00F423AE" w:rsidRDefault="00D508D7" w:rsidP="00D508D7">
      <w:pPr>
        <w:pStyle w:val="a3"/>
        <w:numPr>
          <w:ilvl w:val="0"/>
          <w:numId w:val="5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наукове обґрунтування використання здоров'язберігаючих технологій в рамках реалізації стратегії соціалізації учнів різного віку; </w:t>
      </w:r>
    </w:p>
    <w:p w:rsidR="00D508D7" w:rsidRPr="00F423AE" w:rsidRDefault="00D508D7" w:rsidP="00D508D7">
      <w:pPr>
        <w:pStyle w:val="a3"/>
        <w:numPr>
          <w:ilvl w:val="0"/>
          <w:numId w:val="5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розробка відповідних заходів в педагогічних колективах вихователів та учителів сумісно із медичними працівниками;</w:t>
      </w:r>
    </w:p>
    <w:p w:rsidR="00D508D7" w:rsidRPr="00F423AE" w:rsidRDefault="00D508D7" w:rsidP="00D508D7">
      <w:pPr>
        <w:pStyle w:val="a3"/>
        <w:numPr>
          <w:ilvl w:val="0"/>
          <w:numId w:val="5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координація діяльності в забезпеченні умов для підвищення творчої активності педагогів Методичною радою та творчою групою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.</w:t>
      </w:r>
    </w:p>
    <w:p w:rsidR="00714DDF" w:rsidRPr="00F423AE" w:rsidRDefault="00714DDF" w:rsidP="00D508D7">
      <w:pPr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</w:p>
    <w:p w:rsidR="00714DDF" w:rsidRPr="00F423AE" w:rsidRDefault="00714DDF" w:rsidP="00D508D7">
      <w:pPr>
        <w:spacing w:line="235" w:lineRule="auto"/>
        <w:ind w:firstLine="709"/>
        <w:jc w:val="center"/>
        <w:rPr>
          <w:b/>
          <w:i/>
          <w:color w:val="FF0000"/>
          <w:sz w:val="36"/>
          <w:szCs w:val="36"/>
          <w:lang w:val="uk-UA"/>
        </w:rPr>
      </w:pPr>
      <w:r w:rsidRPr="00F423AE">
        <w:rPr>
          <w:rFonts w:ascii="Monotype Corsiva" w:hAnsi="Monotype Corsiva"/>
          <w:b/>
          <w:i/>
          <w:color w:val="FF0000"/>
          <w:sz w:val="56"/>
          <w:szCs w:val="36"/>
          <w:lang w:val="uk-UA"/>
        </w:rPr>
        <w:t>М</w:t>
      </w:r>
      <w:r w:rsidRPr="00F423AE">
        <w:rPr>
          <w:b/>
          <w:i/>
          <w:color w:val="FF0000"/>
          <w:sz w:val="36"/>
          <w:szCs w:val="36"/>
          <w:lang w:val="uk-UA"/>
        </w:rPr>
        <w:t>етоди  дослідження:</w:t>
      </w:r>
    </w:p>
    <w:p w:rsidR="00714DDF" w:rsidRPr="00F423AE" w:rsidRDefault="00714DDF" w:rsidP="00D508D7">
      <w:pPr>
        <w:spacing w:line="235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аналіз наукової та психолого-педагогічної літератури, </w:t>
      </w:r>
    </w:p>
    <w:p w:rsidR="00714DDF" w:rsidRPr="00F423AE" w:rsidRDefault="00714DDF" w:rsidP="00D508D7">
      <w:pPr>
        <w:spacing w:line="235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спостереження, </w:t>
      </w:r>
    </w:p>
    <w:p w:rsidR="00714DDF" w:rsidRPr="00F423AE" w:rsidRDefault="00714DDF" w:rsidP="00D508D7">
      <w:pPr>
        <w:spacing w:line="235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анкетування, </w:t>
      </w:r>
    </w:p>
    <w:p w:rsidR="00714DDF" w:rsidRPr="00F423AE" w:rsidRDefault="00714DDF" w:rsidP="00D508D7">
      <w:pPr>
        <w:spacing w:line="235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опитування, </w:t>
      </w:r>
    </w:p>
    <w:p w:rsidR="00714DDF" w:rsidRPr="00F423AE" w:rsidRDefault="00714DDF" w:rsidP="00D508D7">
      <w:pPr>
        <w:spacing w:line="235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тестування, </w:t>
      </w:r>
    </w:p>
    <w:p w:rsidR="00714DDF" w:rsidRPr="00F423AE" w:rsidRDefault="00714DDF" w:rsidP="00D508D7">
      <w:pPr>
        <w:spacing w:line="235" w:lineRule="auto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- аналіз педагогічного досвіду вчителів і вихователів школи-інтернату  та колективів інших навчальних закладів.</w:t>
      </w:r>
    </w:p>
    <w:p w:rsidR="00E05C4D" w:rsidRPr="00F423AE" w:rsidRDefault="00E05C4D" w:rsidP="00D508D7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Етапи шкільної соціалізації є хронологічно послідовними складовими цілісного і багатовимірного педагогічного процесу. Його метою є забезпечення базових особистісних основ життєвої готовності, соціальної компетентності та адекватності молодої людини. Ця мета утворює спільний наскрізний зміст етапів шкільної соціалізації і є внутрішньою підставою їх послідовного смислового взаємозв’язку та наступності.</w:t>
      </w:r>
    </w:p>
    <w:p w:rsidR="0054507D" w:rsidRPr="00F423AE" w:rsidRDefault="0054507D" w:rsidP="0054507D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Суб'єктами спільної діяльності у процесі соціалізації особистості є учні, вчителі, батьки, громадськість, органи управління освітою та органи місцевого самоврядування, а також інші суб’єкти діяльності, зокрема, методичні служби, Дніпропетровський обласний інститут післядипломної педагогічної освіти, засоби масової інформації, інше. </w:t>
      </w:r>
    </w:p>
    <w:p w:rsidR="0054507D" w:rsidRPr="00F423AE" w:rsidRDefault="0054507D" w:rsidP="0054507D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Важливе значення відіграють фактори педагогічного впливу на розв</w:t>
      </w:r>
      <w:r w:rsidR="00F423AE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иток соціальної компетентності вихованця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:  </w:t>
      </w:r>
    </w:p>
    <w:p w:rsidR="0054507D" w:rsidRPr="00F423AE" w:rsidRDefault="0054507D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р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озвинене освітнє середовище </w:t>
      </w:r>
      <w:r w:rsidR="00F423AE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навчального закладу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;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</w:p>
    <w:p w:rsidR="0054507D" w:rsidRPr="00F423AE" w:rsidRDefault="0054507D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lastRenderedPageBreak/>
        <w:t xml:space="preserve">-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с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приятливі </w:t>
      </w:r>
      <w:proofErr w:type="spellStart"/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внутришкільні</w:t>
      </w:r>
      <w:proofErr w:type="spellEnd"/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комунікації (партнерство у стосунках,  взаємоповага)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;</w:t>
      </w:r>
    </w:p>
    <w:p w:rsidR="0054507D" w:rsidRPr="00F423AE" w:rsidRDefault="0054507D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с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прямованість на формування соціальної компетентності  особистості, особистісно-зорієнтований підхід в організації навчально-виховного процесу)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;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</w:p>
    <w:p w:rsidR="0054507D" w:rsidRPr="00F423AE" w:rsidRDefault="0054507D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ш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кільні традиції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;</w:t>
      </w:r>
    </w:p>
    <w:p w:rsidR="0054507D" w:rsidRPr="00F423AE" w:rsidRDefault="0054507D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-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д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оцільне і оптимальне використання інформаційно-комунікаційних та інших інноваційних технологій.</w:t>
      </w:r>
    </w:p>
    <w:p w:rsidR="00690C7C" w:rsidRPr="00F423AE" w:rsidRDefault="00690C7C" w:rsidP="00690C7C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Н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аціонально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патріотичне виховання закладає підвалини для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формування свідомості нинішніх і прийдешніх поколінь, які розглядатимуть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державу як запоруку власного особистісного розвитку на засадах гуманізму,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соціального добробуту, демократії, свободи, толерантності, виваженості,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відповідальності, здорового способу життя, готовності до змін.</w:t>
      </w:r>
    </w:p>
    <w:p w:rsidR="0054507D" w:rsidRPr="00F423AE" w:rsidRDefault="0054507D" w:rsidP="0054507D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Незаперечною є істина, що суспільство, яке прагне жити в гармонії з довкіллям, має не лише декларувати, а й формувати систему істинних цінностей у кожного громадянина.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О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дним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із чинників благополуччя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особистості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, родини та суспільства в цілому має стати здоров'я, як фундаментальна цінність буття. Тільки за умови здоров’я – фізичного, психічного, духовного, соціального та морального – людина може успішно соціалізуватися в суспільстві. </w:t>
      </w:r>
    </w:p>
    <w:p w:rsidR="00D8763E" w:rsidRPr="00F423AE" w:rsidRDefault="00D8763E" w:rsidP="00D8763E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Збільшення об’єму інформації, який повинен засвоїти учень у процесі навчання, значно збільшує сумарне учбове навантаження та ступінь напруги функціональних систем організму під час її виконання. </w:t>
      </w:r>
    </w:p>
    <w:p w:rsidR="00D8763E" w:rsidRPr="00F423AE" w:rsidRDefault="00D8763E" w:rsidP="00D8763E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Проведені дослідження показують, що ситуації, коли можливості функціональних систем організму не відповідають вимогам навчання, не тільки призводять до низької успішності, але й викликають функціональні розлади. Особливо це є актуальним для школярів із захворюванням серцево-судинної системи.</w:t>
      </w:r>
    </w:p>
    <w:p w:rsidR="00D8763E" w:rsidRPr="00F423AE" w:rsidRDefault="00D8763E" w:rsidP="00D8763E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Головними причинами стрімкого погіршення здоров’я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дітей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є значне порушення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ним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и режимних моментів, ігнорування фізичних вправ (тільки 26 % дітей займаються фізкультурою в домашніх умовах, до 40 % дітей понад двох годин переглядає телепередачі та більш ніж 43 % проводять до 3 годин за комп'ютером). Однак до таких наслідків призводять не лише малорухомий спосіб життя та напружений графік навчання у школі, а й незадовільні умови життя значної частки населення, екологічно несприятливий стан оточуючого середовища, що знижує можливості дитячого організму до опірності різним шкідливим факторам. </w:t>
      </w:r>
    </w:p>
    <w:p w:rsidR="00E05C4D" w:rsidRPr="00F423AE" w:rsidRDefault="00E05C4D" w:rsidP="00D508D7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Таким чином, існує необхідність нових підходів в застосуванні прийомів, методів, засобів навчання з урахуванням функціонального стану учня. Педагог повинен досконало володіти різними технологіями навчання і уміти прогнозувати результат своєї дії, оцінювати як позитивний, так і негативний вплив їх на здоров'я школяра.</w:t>
      </w:r>
      <w:r w:rsidR="008F6E40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Іншими словами навчально-виховний процес повинен бути здоров’язберігаючим. При цьому педагоги повинні використовувати в своїй діяльності здоров’яформуючі технології, технології, які формують у вихованця </w:t>
      </w:r>
      <w:r w:rsidR="0054507D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культуру здоров’я, </w:t>
      </w:r>
      <w:r w:rsidR="008F6E40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потребу вести здорови</w:t>
      </w:r>
      <w:r w:rsidR="0054507D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й</w:t>
      </w:r>
      <w:r w:rsidR="008F6E40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спосіб життя, </w:t>
      </w:r>
      <w:r w:rsidR="0054507D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слідкувати за станом свого здоров’я.</w:t>
      </w:r>
    </w:p>
    <w:p w:rsidR="00E05C4D" w:rsidRPr="00F423AE" w:rsidRDefault="00E05C4D" w:rsidP="00D508D7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lastRenderedPageBreak/>
        <w:t>Тому враховуючи вищезазначене педагогічним та медичним колективами школи-інтернату і було прийняте рішення про формування здоров’язберігаючого культурно-освітнього простору у школі-інтернаті, тобто цілісної системи заходів, побудованої на взаємозв’язку та взаємодії всіх факторів освітнього середовища, спрямованих на збереження здоров’я вихованців на всіх етапах його навчання та розвитку.</w:t>
      </w:r>
    </w:p>
    <w:p w:rsidR="00E05C4D" w:rsidRPr="00F423AE" w:rsidRDefault="00E05C4D" w:rsidP="00D508D7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ascii="Monotype Corsiva" w:hAnsi="Monotype Corsiva"/>
          <w:b/>
          <w:i/>
          <w:color w:val="FF0000"/>
          <w:sz w:val="56"/>
          <w:szCs w:val="36"/>
          <w:lang w:val="uk-UA"/>
        </w:rPr>
        <w:t>М</w:t>
      </w:r>
      <w:r w:rsidRPr="00F423AE">
        <w:rPr>
          <w:b/>
          <w:i/>
          <w:color w:val="FF0000"/>
          <w:sz w:val="36"/>
          <w:szCs w:val="36"/>
          <w:lang w:val="uk-UA"/>
        </w:rPr>
        <w:t xml:space="preserve">ета 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шкільного проекту – створення здоров’язберігаючого культурно-освітнього простору, в рамках якого можлива реалізація принципів особистісно-орієнтованої педагогіки, спрямованих на формування у учнів культури здоров’я та здатності і готовності до самостійної пізнавальної діяльності, а також стійких навичок соціальної і творчої активності, що є фактором успішної соціалізації особистості.</w:t>
      </w:r>
    </w:p>
    <w:p w:rsidR="00D8763E" w:rsidRPr="00F423AE" w:rsidRDefault="00D8763E" w:rsidP="00D8763E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Модель здоров'язберігаючого комфортного освітнього середовища з використанням технології реабілітації працездатності школярів реалізується шляхом оптимізації і гуманізації навчального процесу, які можливі через: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застосування різнорівневого навчання;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глибоку диференціацію та індивідуалізацію навчання;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широке використання сучасних педагогічних технологій;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інтерактивне навчання;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створення фізичного, фізіологічного, психічного комфорту для </w:t>
      </w:r>
      <w:r w:rsidR="00E54A9D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вихованц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ів;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настанови вчительського колективу на створення відносин "учитель-учень" за формулою "суб'єкт-суб'єкт";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забезпечення позитивної мотивації навчання шляхом створення можливості успіху для кожного учня;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розумне зменшення обсягу домашніх завдань із метою запобігання перевантаження учнів. </w:t>
      </w:r>
    </w:p>
    <w:p w:rsidR="00690C7C" w:rsidRPr="00F423AE" w:rsidRDefault="00690C7C" w:rsidP="00690C7C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залучення вихованців до продуктивної, творчої діяльності, де немає готових відповідей, рафінованих знань – їх необхідно здобувати; знання повинні не тільки передаватися від учителя, але й набуватись, рефлексуватись та осмислюватись вихованцями та організація умов навчання, що передбачає врахування власне-особистісних функцій та суб’єктивного досвіду вихованця.</w:t>
      </w:r>
    </w:p>
    <w:p w:rsidR="00D8763E" w:rsidRPr="00F423AE" w:rsidRDefault="00D8763E" w:rsidP="00E54A9D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Під час проведення уроків важливим є застосування здоров'язберігаючих технологій, що вимагає: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урахування періодів працездатності учнів на уроках;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урахування вікових і фізіологічних особливостей дітей на уроках;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наявність емоційних розрядок на уроках;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lastRenderedPageBreak/>
        <w:t xml:space="preserve">чергування пози з урахуванням видів діяльності; </w:t>
      </w:r>
    </w:p>
    <w:p w:rsidR="00D8763E" w:rsidRPr="00F423AE" w:rsidRDefault="00D8763E" w:rsidP="00E54A9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використання оздоровчо-фізкультурних пауз на уроках</w:t>
      </w:r>
      <w:r w:rsidR="00E54A9D"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 (в тому числі і виконання  вправ для очей)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 xml:space="preserve">. </w:t>
      </w:r>
    </w:p>
    <w:p w:rsidR="00714DDF" w:rsidRPr="00F423AE" w:rsidRDefault="00714DDF" w:rsidP="00D508D7">
      <w:pPr>
        <w:spacing w:line="235" w:lineRule="auto"/>
        <w:ind w:firstLine="709"/>
        <w:jc w:val="both"/>
        <w:rPr>
          <w:rFonts w:eastAsia="Times New Roman"/>
          <w:b/>
          <w:bCs/>
          <w:iCs/>
          <w:sz w:val="24"/>
          <w:szCs w:val="24"/>
          <w:lang w:val="uk-UA" w:eastAsia="ru-RU"/>
        </w:rPr>
      </w:pPr>
    </w:p>
    <w:p w:rsidR="0030227D" w:rsidRPr="00F423AE" w:rsidRDefault="0030227D" w:rsidP="0030227D">
      <w:pPr>
        <w:spacing w:before="100" w:beforeAutospacing="1" w:after="100" w:afterAutospacing="1"/>
        <w:ind w:firstLine="709"/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Враховуючи особливості нашого навчального закладу с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лід виділити такі принципи лікувальної педагогіки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, що є актуальними для нас</w:t>
      </w: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: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відповідальність педагога за здоров'я дитини;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співчуття і дбайливе ставлення до хворої дитини;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профілактика психічної, фізичної і соціальної кризи в стані дитини: легше попередити недугу, ніж потім її лікувати;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індивідуальний підхід в роботі з дитиною; об'єднання зусиль лікаря, батьків і дитини в процесі реабілітації;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здійснення головних заповідей: «Не нашкодити здоров'ю дитини», «Допомогти і навчити дитину піклуватися про себе», «Поважати особистість дитини»;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заохочення дитини в її діяльності;</w:t>
      </w:r>
    </w:p>
    <w:p w:rsidR="0030227D" w:rsidRPr="00F423AE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bCs/>
          <w:iCs/>
          <w:sz w:val="24"/>
          <w:szCs w:val="24"/>
          <w:lang w:val="uk-UA" w:eastAsia="ru-RU"/>
        </w:rPr>
      </w:pPr>
      <w:r w:rsidRPr="00F423AE">
        <w:rPr>
          <w:rFonts w:eastAsia="Times New Roman"/>
          <w:b/>
          <w:bCs/>
          <w:iCs/>
          <w:sz w:val="24"/>
          <w:szCs w:val="24"/>
          <w:lang w:val="uk-UA" w:eastAsia="ru-RU"/>
        </w:rPr>
        <w:t>використання в роботі факторів навколишнього середовища, природи, спілкування дитини з дорослими і однолітками.</w:t>
      </w:r>
    </w:p>
    <w:p w:rsidR="0030227D" w:rsidRPr="00623751" w:rsidRDefault="0030227D" w:rsidP="0030227D">
      <w:pPr>
        <w:spacing w:before="100" w:beforeAutospacing="1" w:after="100" w:afterAutospacing="1"/>
        <w:ind w:firstLine="709"/>
        <w:jc w:val="both"/>
        <w:rPr>
          <w:rFonts w:eastAsia="Times New Roman"/>
          <w:b/>
          <w:sz w:val="24"/>
          <w:lang w:val="uk-UA" w:eastAsia="ru-RU"/>
        </w:rPr>
      </w:pPr>
      <w:r w:rsidRPr="00623751">
        <w:rPr>
          <w:rFonts w:ascii="Monotype Corsiva" w:hAnsi="Monotype Corsiva"/>
          <w:b/>
          <w:i/>
          <w:color w:val="FF0000"/>
          <w:sz w:val="56"/>
          <w:szCs w:val="36"/>
          <w:lang w:val="uk-UA"/>
        </w:rPr>
        <w:t>О</w:t>
      </w:r>
      <w:r w:rsidRPr="00623751">
        <w:rPr>
          <w:b/>
          <w:i/>
          <w:color w:val="FF0000"/>
          <w:sz w:val="36"/>
          <w:szCs w:val="36"/>
          <w:lang w:val="uk-UA"/>
        </w:rPr>
        <w:t xml:space="preserve">сновними </w:t>
      </w:r>
      <w:r w:rsidRPr="00623751">
        <w:rPr>
          <w:b/>
          <w:i/>
          <w:color w:val="FF0000"/>
          <w:sz w:val="36"/>
          <w:szCs w:val="36"/>
          <w:lang w:val="uk-UA"/>
        </w:rPr>
        <w:t>засоб</w:t>
      </w:r>
      <w:r w:rsidRPr="00623751">
        <w:rPr>
          <w:b/>
          <w:i/>
          <w:color w:val="FF0000"/>
          <w:sz w:val="36"/>
          <w:szCs w:val="36"/>
          <w:lang w:val="uk-UA"/>
        </w:rPr>
        <w:t>ам</w:t>
      </w:r>
      <w:r w:rsidRPr="00623751">
        <w:rPr>
          <w:b/>
          <w:i/>
          <w:color w:val="FF0000"/>
          <w:sz w:val="36"/>
          <w:szCs w:val="36"/>
          <w:lang w:val="uk-UA"/>
        </w:rPr>
        <w:t>и</w:t>
      </w:r>
      <w:r w:rsidRPr="00F423AE">
        <w:rPr>
          <w:rFonts w:eastAsia="Times New Roman"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лікувальної педагогіки</w:t>
      </w:r>
      <w:r w:rsidRPr="00623751">
        <w:rPr>
          <w:rFonts w:eastAsia="Times New Roman"/>
          <w:b/>
          <w:sz w:val="24"/>
          <w:lang w:val="uk-UA" w:eastAsia="ru-RU"/>
        </w:rPr>
        <w:t xml:space="preserve"> в досягненні </w:t>
      </w:r>
      <w:r w:rsidRPr="00623751">
        <w:rPr>
          <w:rFonts w:eastAsia="Times New Roman"/>
          <w:b/>
          <w:sz w:val="24"/>
          <w:lang w:val="uk-UA" w:eastAsia="ru-RU"/>
        </w:rPr>
        <w:t>основної мети</w:t>
      </w:r>
      <w:r w:rsidRPr="00623751">
        <w:rPr>
          <w:rFonts w:eastAsia="Times New Roman"/>
          <w:b/>
          <w:sz w:val="24"/>
          <w:lang w:val="uk-UA" w:eastAsia="ru-RU"/>
        </w:rPr>
        <w:t xml:space="preserve"> –</w:t>
      </w:r>
      <w:r w:rsidRPr="00623751">
        <w:rPr>
          <w:rFonts w:eastAsia="Times New Roman"/>
          <w:b/>
          <w:sz w:val="24"/>
          <w:lang w:val="uk-UA" w:eastAsia="ru-RU"/>
        </w:rPr>
        <w:t xml:space="preserve"> оздоровлення дитини </w:t>
      </w:r>
      <w:r w:rsidRPr="00623751">
        <w:rPr>
          <w:rFonts w:eastAsia="Times New Roman"/>
          <w:b/>
          <w:sz w:val="24"/>
          <w:lang w:val="uk-UA" w:eastAsia="ru-RU"/>
        </w:rPr>
        <w:t>–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є</w:t>
      </w:r>
      <w:r w:rsidRPr="00623751">
        <w:rPr>
          <w:rFonts w:eastAsia="Times New Roman"/>
          <w:b/>
          <w:sz w:val="24"/>
          <w:lang w:val="uk-UA" w:eastAsia="ru-RU"/>
        </w:rPr>
        <w:t>:</w:t>
      </w:r>
    </w:p>
    <w:p w:rsidR="0030227D" w:rsidRPr="00623751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proofErr w:type="spellStart"/>
      <w:r w:rsidRPr="00623751">
        <w:rPr>
          <w:rFonts w:eastAsia="Times New Roman"/>
          <w:b/>
          <w:color w:val="984806" w:themeColor="accent6" w:themeShade="80"/>
          <w:sz w:val="24"/>
          <w:lang w:val="uk-UA" w:eastAsia="ru-RU"/>
        </w:rPr>
        <w:t>загальнотерапевтичні</w:t>
      </w:r>
      <w:proofErr w:type="spellEnd"/>
      <w:r w:rsidRPr="00623751">
        <w:rPr>
          <w:rFonts w:eastAsia="Times New Roman"/>
          <w:b/>
          <w:color w:val="984806" w:themeColor="accent6" w:themeShade="80"/>
          <w:sz w:val="24"/>
          <w:lang w:val="uk-UA" w:eastAsia="ru-RU"/>
        </w:rPr>
        <w:t>,</w:t>
      </w:r>
      <w:r w:rsidRPr="00623751">
        <w:rPr>
          <w:rFonts w:eastAsia="Times New Roman"/>
          <w:b/>
          <w:sz w:val="24"/>
          <w:lang w:val="uk-UA" w:eastAsia="ru-RU"/>
        </w:rPr>
        <w:t xml:space="preserve"> які спрямовані на зміцнення здоров'я дитини, на її позитивне спілкування як основу психічного здоров'я ;</w:t>
      </w:r>
    </w:p>
    <w:p w:rsidR="0030227D" w:rsidRPr="00623751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color w:val="984806" w:themeColor="accent6" w:themeShade="80"/>
          <w:sz w:val="24"/>
          <w:lang w:val="uk-UA" w:eastAsia="ru-RU"/>
        </w:rPr>
        <w:t>ліку</w:t>
      </w:r>
      <w:bookmarkStart w:id="0" w:name="_GoBack"/>
      <w:bookmarkEnd w:id="0"/>
      <w:r w:rsidRPr="00623751">
        <w:rPr>
          <w:rFonts w:eastAsia="Times New Roman"/>
          <w:b/>
          <w:color w:val="984806" w:themeColor="accent6" w:themeShade="80"/>
          <w:sz w:val="24"/>
          <w:lang w:val="uk-UA" w:eastAsia="ru-RU"/>
        </w:rPr>
        <w:t xml:space="preserve">вальні </w:t>
      </w:r>
      <w:r w:rsidRPr="00623751">
        <w:rPr>
          <w:rFonts w:eastAsia="Times New Roman"/>
          <w:b/>
          <w:sz w:val="24"/>
          <w:lang w:val="uk-UA" w:eastAsia="ru-RU"/>
        </w:rPr>
        <w:t>- організація консультацій фахівців для діагностики стану здоров'я і визначення лікування;</w:t>
      </w:r>
    </w:p>
    <w:p w:rsidR="0030227D" w:rsidRPr="00623751" w:rsidRDefault="0030227D" w:rsidP="0030227D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color w:val="984806" w:themeColor="accent6" w:themeShade="80"/>
          <w:sz w:val="24"/>
          <w:lang w:val="uk-UA" w:eastAsia="ru-RU"/>
        </w:rPr>
        <w:t>профілактичні</w:t>
      </w:r>
      <w:r w:rsidRPr="00623751">
        <w:rPr>
          <w:rFonts w:eastAsia="Times New Roman"/>
          <w:b/>
          <w:sz w:val="24"/>
          <w:lang w:val="uk-UA" w:eastAsia="ru-RU"/>
        </w:rPr>
        <w:t xml:space="preserve"> - залучення дітей до різноманітної творчої діяльності з метою попередити відхилення у фізичному, психічному стані здоров'я, навчання культурі проведення свого вільного часу, організації режиму в школі, вдома; навчання спостереженню за своїм здоров'ям; створення в школі своєрідних ніш, де б дитина могла звільнитися від своїх переживань, страхів, негативних емоцій і </w:t>
      </w:r>
      <w:proofErr w:type="spellStart"/>
      <w:r w:rsidRPr="00623751">
        <w:rPr>
          <w:rFonts w:eastAsia="Times New Roman"/>
          <w:b/>
          <w:sz w:val="24"/>
          <w:lang w:val="uk-UA" w:eastAsia="ru-RU"/>
        </w:rPr>
        <w:t>напруг</w:t>
      </w:r>
      <w:proofErr w:type="spellEnd"/>
      <w:r w:rsidRPr="00623751">
        <w:rPr>
          <w:rFonts w:eastAsia="Times New Roman"/>
          <w:b/>
          <w:sz w:val="24"/>
          <w:lang w:val="uk-UA" w:eastAsia="ru-RU"/>
        </w:rPr>
        <w:t>.</w:t>
      </w:r>
    </w:p>
    <w:p w:rsidR="00735AA6" w:rsidRPr="00623751" w:rsidRDefault="00735AA6" w:rsidP="00735AA6">
      <w:pPr>
        <w:spacing w:before="100" w:beforeAutospacing="1" w:after="100" w:afterAutospacing="1"/>
        <w:ind w:firstLine="709"/>
        <w:jc w:val="both"/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Враховуючи методичні рекомендації Міністерства освіти і науки України, департаменту освіти і науки Дніпропетровської обласної державної адміністрації навчально-виховна робота педагогічного колективу нашого навчального закладу в цьому навчальному році буде вестись за такими напрямками:</w:t>
      </w:r>
    </w:p>
    <w:p w:rsidR="00735AA6" w:rsidRPr="00623751" w:rsidRDefault="00735AA6" w:rsidP="00735AA6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lastRenderedPageBreak/>
        <w:t>національно-патріотичне виховання;</w:t>
      </w:r>
    </w:p>
    <w:p w:rsidR="00735AA6" w:rsidRPr="00623751" w:rsidRDefault="00735AA6" w:rsidP="00735AA6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превентивне</w:t>
      </w:r>
      <w:r w:rsidRPr="00623751">
        <w:rPr>
          <w:rFonts w:eastAsia="Times New Roman"/>
          <w:b/>
          <w:sz w:val="24"/>
          <w:lang w:val="uk-UA" w:eastAsia="ru-RU"/>
        </w:rPr>
        <w:t xml:space="preserve"> виховання</w:t>
      </w:r>
      <w:r w:rsidR="00F423AE" w:rsidRPr="00623751">
        <w:rPr>
          <w:rFonts w:eastAsia="Times New Roman"/>
          <w:b/>
          <w:sz w:val="24"/>
          <w:lang w:val="uk-UA" w:eastAsia="ru-RU"/>
        </w:rPr>
        <w:t>;</w:t>
      </w:r>
    </w:p>
    <w:p w:rsidR="00735AA6" w:rsidRPr="00623751" w:rsidRDefault="00F423AE" w:rsidP="00735AA6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здоров’яформуючі технології;</w:t>
      </w:r>
    </w:p>
    <w:p w:rsidR="00F423AE" w:rsidRPr="00623751" w:rsidRDefault="00F423AE" w:rsidP="00735AA6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художньо-естетичн</w:t>
      </w:r>
      <w:r w:rsidRPr="00623751">
        <w:rPr>
          <w:rFonts w:eastAsia="Times New Roman"/>
          <w:b/>
          <w:sz w:val="24"/>
          <w:lang w:val="uk-UA" w:eastAsia="ru-RU"/>
        </w:rPr>
        <w:t>е</w:t>
      </w:r>
      <w:r w:rsidRPr="00623751">
        <w:rPr>
          <w:rFonts w:eastAsia="Times New Roman"/>
          <w:b/>
          <w:sz w:val="24"/>
          <w:lang w:val="uk-UA" w:eastAsia="ru-RU"/>
        </w:rPr>
        <w:t xml:space="preserve"> виховання</w:t>
      </w:r>
      <w:r w:rsidRPr="00623751">
        <w:rPr>
          <w:rFonts w:eastAsia="Times New Roman"/>
          <w:b/>
          <w:sz w:val="24"/>
          <w:lang w:val="uk-UA" w:eastAsia="ru-RU"/>
        </w:rPr>
        <w:t>;</w:t>
      </w:r>
    </w:p>
    <w:p w:rsidR="00F423AE" w:rsidRPr="00623751" w:rsidRDefault="00F423AE" w:rsidP="00F423AE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р</w:t>
      </w:r>
      <w:r w:rsidRPr="00623751">
        <w:rPr>
          <w:rFonts w:eastAsia="Times New Roman"/>
          <w:b/>
          <w:sz w:val="24"/>
          <w:lang w:val="uk-UA" w:eastAsia="ru-RU"/>
        </w:rPr>
        <w:t>озвиток знань, світогляду, екологічних умінь, навичок і культури засобами натуралістичної роботи</w:t>
      </w:r>
      <w:r w:rsidRPr="00623751">
        <w:rPr>
          <w:rFonts w:eastAsia="Times New Roman"/>
          <w:b/>
          <w:sz w:val="24"/>
          <w:lang w:val="uk-UA" w:eastAsia="ru-RU"/>
        </w:rPr>
        <w:t>;</w:t>
      </w:r>
    </w:p>
    <w:p w:rsidR="00735AA6" w:rsidRPr="00623751" w:rsidRDefault="00F423AE" w:rsidP="00F423AE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п</w:t>
      </w:r>
      <w:r w:rsidRPr="00623751">
        <w:rPr>
          <w:rFonts w:eastAsia="Times New Roman"/>
          <w:b/>
          <w:sz w:val="24"/>
          <w:lang w:val="uk-UA" w:eastAsia="ru-RU"/>
        </w:rPr>
        <w:t>ідготовка підростаючого покоління до дорослого, сімейного життя</w:t>
      </w:r>
      <w:r w:rsidRPr="00623751">
        <w:rPr>
          <w:rFonts w:eastAsia="Times New Roman"/>
          <w:b/>
          <w:sz w:val="24"/>
          <w:lang w:val="uk-UA" w:eastAsia="ru-RU"/>
        </w:rPr>
        <w:t>;</w:t>
      </w:r>
    </w:p>
    <w:p w:rsidR="00F423AE" w:rsidRPr="00623751" w:rsidRDefault="00F423AE" w:rsidP="00F423AE">
      <w:pPr>
        <w:pStyle w:val="a3"/>
        <w:numPr>
          <w:ilvl w:val="0"/>
          <w:numId w:val="7"/>
        </w:numPr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п</w:t>
      </w:r>
      <w:r w:rsidRPr="00623751">
        <w:rPr>
          <w:rFonts w:eastAsia="Times New Roman"/>
          <w:b/>
          <w:sz w:val="24"/>
          <w:lang w:val="uk-UA" w:eastAsia="ru-RU"/>
        </w:rPr>
        <w:t xml:space="preserve">рофесійна орієнтація та </w:t>
      </w:r>
      <w:proofErr w:type="spellStart"/>
      <w:r w:rsidRPr="00623751">
        <w:rPr>
          <w:rFonts w:eastAsia="Times New Roman"/>
          <w:b/>
          <w:sz w:val="24"/>
          <w:lang w:val="uk-UA" w:eastAsia="ru-RU"/>
        </w:rPr>
        <w:t>допрофільна</w:t>
      </w:r>
      <w:proofErr w:type="spellEnd"/>
      <w:r w:rsidRPr="00623751">
        <w:rPr>
          <w:rFonts w:eastAsia="Times New Roman"/>
          <w:b/>
          <w:sz w:val="24"/>
          <w:lang w:val="uk-UA" w:eastAsia="ru-RU"/>
        </w:rPr>
        <w:t xml:space="preserve"> підготовка</w:t>
      </w:r>
      <w:r w:rsidRPr="00623751">
        <w:rPr>
          <w:rFonts w:eastAsia="Times New Roman"/>
          <w:b/>
          <w:sz w:val="24"/>
          <w:lang w:val="uk-UA" w:eastAsia="ru-RU"/>
        </w:rPr>
        <w:t>.</w:t>
      </w:r>
    </w:p>
    <w:p w:rsidR="00FA70C4" w:rsidRPr="00623751" w:rsidRDefault="00FA70C4" w:rsidP="00FA70C4">
      <w:pPr>
        <w:spacing w:before="100" w:beforeAutospacing="1" w:after="100" w:afterAutospacing="1"/>
        <w:ind w:firstLine="709"/>
        <w:jc w:val="both"/>
        <w:rPr>
          <w:rFonts w:eastAsia="Times New Roman"/>
          <w:b/>
          <w:sz w:val="24"/>
          <w:lang w:val="uk-UA" w:eastAsia="ru-RU"/>
        </w:rPr>
      </w:pPr>
      <w:r w:rsidRPr="00623751">
        <w:rPr>
          <w:rFonts w:eastAsia="Times New Roman"/>
          <w:b/>
          <w:sz w:val="24"/>
          <w:lang w:val="uk-UA" w:eastAsia="ru-RU"/>
        </w:rPr>
        <w:t>Проблема розробки освітніх стратегій щодо соціалізації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 xml:space="preserve">особистості громадянського суспільства викликана </w:t>
      </w:r>
      <w:r w:rsidRPr="00623751">
        <w:rPr>
          <w:rFonts w:eastAsia="Times New Roman"/>
          <w:b/>
          <w:sz w:val="24"/>
          <w:lang w:val="uk-UA" w:eastAsia="ru-RU"/>
        </w:rPr>
        <w:t xml:space="preserve">соціально-економічними </w:t>
      </w:r>
      <w:r w:rsidRPr="00623751">
        <w:rPr>
          <w:rFonts w:eastAsia="Times New Roman"/>
          <w:b/>
          <w:sz w:val="24"/>
          <w:lang w:val="uk-UA" w:eastAsia="ru-RU"/>
        </w:rPr>
        <w:t>умовами, які переживає Україна зараз та необхідністю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вирішення важливих завдань реформування змісту вітчизняної освіти.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Зокрема мова йдеться про нові освітні стандарти, нові педагогічні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технології, які кардинально змінюють зміст освіти. Адже інтеграція у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світовий та європейський освітній простір вимагає від України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трансформаційних зрушень не тільки у технологічному аспекті, а й у</w:t>
      </w:r>
      <w:r w:rsidRPr="00623751">
        <w:rPr>
          <w:rFonts w:eastAsia="Times New Roman"/>
          <w:b/>
          <w:sz w:val="24"/>
          <w:lang w:val="uk-UA" w:eastAsia="ru-RU"/>
        </w:rPr>
        <w:t xml:space="preserve"> </w:t>
      </w:r>
      <w:r w:rsidRPr="00623751">
        <w:rPr>
          <w:rFonts w:eastAsia="Times New Roman"/>
          <w:b/>
          <w:sz w:val="24"/>
          <w:lang w:val="uk-UA" w:eastAsia="ru-RU"/>
        </w:rPr>
        <w:t>вихованні соціально компетентної особистості.</w:t>
      </w:r>
    </w:p>
    <w:sectPr w:rsidR="00FA70C4" w:rsidRPr="00623751" w:rsidSect="00714DDF"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D4344"/>
    <w:multiLevelType w:val="hybridMultilevel"/>
    <w:tmpl w:val="937EF71E"/>
    <w:lvl w:ilvl="0" w:tplc="0194EA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9AC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88C9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881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6C00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0027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52CA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EE74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00D2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60A1C"/>
    <w:multiLevelType w:val="hybridMultilevel"/>
    <w:tmpl w:val="F4E2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86839"/>
    <w:multiLevelType w:val="hybridMultilevel"/>
    <w:tmpl w:val="1B529D1E"/>
    <w:lvl w:ilvl="0" w:tplc="4EB87D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AAA63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4067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E0012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07EC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884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ADB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34AF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083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EF4E53"/>
    <w:multiLevelType w:val="hybridMultilevel"/>
    <w:tmpl w:val="333E49E8"/>
    <w:lvl w:ilvl="0" w:tplc="D1927AA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680C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8CD7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3E72D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88F68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92DB1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BCFA7E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3C85D4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383BF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D86763"/>
    <w:multiLevelType w:val="hybridMultilevel"/>
    <w:tmpl w:val="23A6DB70"/>
    <w:lvl w:ilvl="0" w:tplc="0C52E5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3AF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280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DA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E4BA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B89D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497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FCE29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28FC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A603D"/>
    <w:multiLevelType w:val="hybridMultilevel"/>
    <w:tmpl w:val="17E070B6"/>
    <w:lvl w:ilvl="0" w:tplc="2F7CFD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9D5674A"/>
    <w:multiLevelType w:val="hybridMultilevel"/>
    <w:tmpl w:val="A86492BC"/>
    <w:lvl w:ilvl="0" w:tplc="4EB87D30">
      <w:start w:val="1"/>
      <w:numFmt w:val="bullet"/>
      <w:lvlText w:val=""/>
      <w:lvlJc w:val="left"/>
      <w:pPr>
        <w:ind w:left="256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7">
    <w:nsid w:val="44F12658"/>
    <w:multiLevelType w:val="hybridMultilevel"/>
    <w:tmpl w:val="77127B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C4D"/>
    <w:rsid w:val="00180328"/>
    <w:rsid w:val="001A74BD"/>
    <w:rsid w:val="002B5908"/>
    <w:rsid w:val="0030227D"/>
    <w:rsid w:val="0054507D"/>
    <w:rsid w:val="006031D5"/>
    <w:rsid w:val="0061591E"/>
    <w:rsid w:val="00623751"/>
    <w:rsid w:val="00644089"/>
    <w:rsid w:val="00690C7C"/>
    <w:rsid w:val="00714DDF"/>
    <w:rsid w:val="00735AA6"/>
    <w:rsid w:val="008F6E40"/>
    <w:rsid w:val="00AB79E4"/>
    <w:rsid w:val="00D508D7"/>
    <w:rsid w:val="00D8763E"/>
    <w:rsid w:val="00DB197A"/>
    <w:rsid w:val="00E05C4D"/>
    <w:rsid w:val="00E54A9D"/>
    <w:rsid w:val="00E705A8"/>
    <w:rsid w:val="00F423AE"/>
    <w:rsid w:val="00F84FF4"/>
    <w:rsid w:val="00FA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9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2016-09-02T08:59:00Z</dcterms:created>
  <dcterms:modified xsi:type="dcterms:W3CDTF">2016-09-02T09:02:00Z</dcterms:modified>
</cp:coreProperties>
</file>